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CD" w:rsidRDefault="00E468CD" w:rsidP="00E468CD">
      <w:pPr>
        <w:pStyle w:val="1"/>
      </w:pPr>
      <w:r>
        <w:t>(7446-11-9)三氧化硫的理化及危险特性表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416"/>
        <w:gridCol w:w="2000"/>
        <w:gridCol w:w="2233"/>
      </w:tblGrid>
      <w:tr w:rsidR="00E468CD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识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中文名：三氧化硫；硫酸酐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sulfur trioxide 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SO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分子量：80.06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1829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危险类别：第8.1类； 酸性腐蚀品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7446-11-9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 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包装类别： 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针状固体或液体，有刺激性气味。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无资料。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熔点（℃）：16.8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沸点（℃）：44.8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相对密度（水＝1）：1.97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相对密度（空气＝1）：2.8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饱和蒸气压（kPa）：37.32(25℃)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E468CD" w:rsidTr="0090435F">
        <w:trPr>
          <w:cantSplit/>
          <w:trHeight w:val="16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临界压力（MPa）：无意义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稳定性： 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 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 氧化硫。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强碱、强还原剂、活性金属粉末、水、易燃或可燃物。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避免接触的条件：潮湿空气。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与水发生爆炸性剧烈反应。与氧气、氟、氧化铅、次亚氯酸、过氯酸、磷、四氟乙烯等接触剧烈反应。与有机材料如木、棉花或草接触，会着火。吸湿性极强，在空气中产生有毒的白烟。遇潮时对大多数金属有强腐蚀性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禁止用水和泡沫灭火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</w:tc>
      </w:tr>
      <w:tr w:rsidR="00E468CD" w:rsidTr="0090435F">
        <w:trPr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其毒性表现与硫酸同。对皮肤、粘膜等组织有强烈的刺激和腐蚀作用。可引起结膜炎、水肿。角膜混浊，以致失明；引起呼吸道刺激症状，重者发生呼吸困难和肺水肿；高浓度引起喉痉挛或声门水肿而死亡。口服后引起消化道的烧伤以至溃疡形成。严重者可能有胃穿孔、腹膜炎、喉痉挛和声门水肿、肾损害、休克等。慢性影响有牙齿酸蚀症、慢性支气管炎、肺气肿和肝硬变等。 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立即脱去污染的衣着，用大量流动清水冲洗至少15分钟。就医。</w:t>
            </w:r>
            <w:r>
              <w:rPr>
                <w:rFonts w:ascii="宋体" w:hAnsi="宋体" w:hint="eastAsia"/>
                <w:bCs/>
              </w:rPr>
              <w:t xml:space="preserve">   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  <w:bCs/>
              </w:rPr>
              <w:t xml:space="preserve">      ※吸入：</w:t>
            </w:r>
            <w:r>
              <w:rPr>
                <w:rFonts w:ascii="宋体" w:hAnsi="宋体" w:hint="eastAsia"/>
                <w:szCs w:val="18"/>
              </w:rPr>
              <w:t xml:space="preserve">迅速脱离现场至空气新鲜处。保持呼吸道通畅。如呼吸困难，给输氧。如呼吸停止，立即进行人工呼吸。就医。     </w:t>
            </w:r>
            <w:r>
              <w:rPr>
                <w:rFonts w:ascii="宋体" w:hAnsi="宋体" w:hint="eastAsia"/>
                <w:bCs/>
              </w:rPr>
              <w:t>※</w:t>
            </w:r>
            <w:r>
              <w:rPr>
                <w:rFonts w:ascii="宋体" w:hAnsi="宋体" w:hint="eastAsia"/>
                <w:szCs w:val="18"/>
              </w:rPr>
              <w:t>食入：用水漱口，给饮牛奶或蛋清。就医。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密闭操作，注意通风。尽可能机械化、自动化。提供安全淋浴和洗眼设备。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可能接触其粉尘时，必须佩戴防尘面具（全面罩）；可能接触其蒸气时，应该佩戴自吸过滤式防毒面具（全面罩）。</w:t>
            </w:r>
            <w:r>
              <w:rPr>
                <w:rFonts w:ascii="宋体" w:hAnsi="宋体" w:hint="eastAsia"/>
              </w:rPr>
              <w:t xml:space="preserve">   ※眼睛防护：呼吸系统防护中已作防护。    ※身体防护：</w:t>
            </w:r>
            <w:r>
              <w:rPr>
                <w:rFonts w:ascii="宋体" w:hAnsi="宋体" w:hint="eastAsia"/>
                <w:szCs w:val="18"/>
              </w:rPr>
              <w:t>穿橡胶耐酸碱服。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戴橡胶耐酸碱手套。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宋体" w:hAnsi="宋体" w:hint="eastAsia"/>
                <w:szCs w:val="18"/>
              </w:rPr>
              <w:t>工作完毕，淋浴更衣。单独存放被毒物污染的衣服，洗后备用。保持良好的卫生习惯。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安全区，并立即隔离150m，严格限制出入。建议应急处理人员戴自给正压式呼吸器，穿防酸碱工作服。尽可能切断泄漏源。若是液体。小量泄漏：用砂土、蛭石或其它惰性材料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 w:rsidR="00E468CD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468CD" w:rsidRDefault="00E468CD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8CD" w:rsidRDefault="00E468CD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干燥、通风良好的库房。远离火种、热源。保持容器密封。应与易（可）燃物、还原剂、碱类、活性金属粉末等分开存放，切忌混储。储区应备有泄漏应急处理设备和合适的收容材料。搬运时要轻装轻卸，防止包装及容器损坏。配备泄漏应急处理设备。倒空的容器可能残留有害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CD"/>
    <w:rsid w:val="00E468C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8528-AD01-4464-BE00-69062B4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468C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468C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zyhq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